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FE" w:rsidRDefault="00F1207D" w:rsidP="00254BFE">
      <w:pPr>
        <w:rPr>
          <w:rFonts w:cs="Arial"/>
          <w:b/>
        </w:rPr>
      </w:pPr>
      <w:bookmarkStart w:id="0" w:name="_GoBack"/>
      <w:bookmarkEnd w:id="0"/>
      <w:r w:rsidRPr="00281B5C">
        <w:rPr>
          <w:rFonts w:ascii="Arial" w:hAnsi="Arial" w:cs="Arial"/>
          <w:b/>
          <w:sz w:val="24"/>
          <w:szCs w:val="24"/>
        </w:rPr>
        <w:t>Proposed Additions to the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81B5C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ational </w:t>
      </w:r>
      <w:r w:rsidRPr="00281B5C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roductivity </w:t>
      </w:r>
      <w:r w:rsidRPr="00281B5C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nvestment </w:t>
      </w:r>
      <w:r w:rsidRPr="00281B5C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b/>
          <w:sz w:val="24"/>
          <w:szCs w:val="24"/>
        </w:rPr>
        <w:t>und Programme</w:t>
      </w:r>
      <w:r>
        <w:rPr>
          <w:rFonts w:cs="Arial"/>
          <w:b/>
        </w:rPr>
        <w:t xml:space="preserve"> </w:t>
      </w:r>
    </w:p>
    <w:tbl>
      <w:tblPr>
        <w:tblStyle w:val="TableGrid"/>
        <w:tblW w:w="15026" w:type="dxa"/>
        <w:tblInd w:w="-714" w:type="dxa"/>
        <w:tblLook w:val="04A0" w:firstRow="1" w:lastRow="0" w:firstColumn="1" w:lastColumn="0" w:noHBand="0" w:noVBand="1"/>
      </w:tblPr>
      <w:tblGrid>
        <w:gridCol w:w="1942"/>
        <w:gridCol w:w="3574"/>
        <w:gridCol w:w="6817"/>
        <w:gridCol w:w="1257"/>
        <w:gridCol w:w="1436"/>
      </w:tblGrid>
      <w:tr w:rsidR="00D36BC1" w:rsidTr="00F73267">
        <w:tc>
          <w:tcPr>
            <w:tcW w:w="1942" w:type="dxa"/>
            <w:shd w:val="clear" w:color="auto" w:fill="DEEAF6" w:themeFill="accent1" w:themeFillTint="33"/>
          </w:tcPr>
          <w:p w:rsidR="00254BFE" w:rsidRPr="00C34C0D" w:rsidRDefault="00F1207D" w:rsidP="00F73267">
            <w:pPr>
              <w:jc w:val="center"/>
              <w:rPr>
                <w:rFonts w:cs="Arial"/>
                <w:b/>
              </w:rPr>
            </w:pPr>
            <w:r w:rsidRPr="00C34C0D">
              <w:rPr>
                <w:rFonts w:cs="Arial"/>
                <w:b/>
              </w:rPr>
              <w:t>Proposed Project</w:t>
            </w:r>
          </w:p>
        </w:tc>
        <w:tc>
          <w:tcPr>
            <w:tcW w:w="3574" w:type="dxa"/>
            <w:shd w:val="clear" w:color="auto" w:fill="DEEAF6" w:themeFill="accent1" w:themeFillTint="33"/>
          </w:tcPr>
          <w:p w:rsidR="00254BFE" w:rsidRPr="00C34C0D" w:rsidRDefault="00F1207D" w:rsidP="00F73267">
            <w:pPr>
              <w:jc w:val="center"/>
              <w:rPr>
                <w:rFonts w:cs="Arial"/>
                <w:b/>
              </w:rPr>
            </w:pPr>
            <w:r w:rsidRPr="00C34C0D">
              <w:rPr>
                <w:rFonts w:cs="Arial"/>
                <w:b/>
              </w:rPr>
              <w:t>Project Details</w:t>
            </w:r>
          </w:p>
        </w:tc>
        <w:tc>
          <w:tcPr>
            <w:tcW w:w="6817" w:type="dxa"/>
            <w:shd w:val="clear" w:color="auto" w:fill="DEEAF6" w:themeFill="accent1" w:themeFillTint="33"/>
          </w:tcPr>
          <w:p w:rsidR="00254BFE" w:rsidRPr="00C34C0D" w:rsidRDefault="00F1207D" w:rsidP="00F73267">
            <w:pPr>
              <w:jc w:val="center"/>
              <w:rPr>
                <w:rFonts w:cs="Arial"/>
                <w:b/>
              </w:rPr>
            </w:pPr>
            <w:r w:rsidRPr="00C34C0D">
              <w:rPr>
                <w:rFonts w:cs="Arial"/>
                <w:b/>
              </w:rPr>
              <w:t>Justification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254BFE" w:rsidRPr="00C34C0D" w:rsidRDefault="00F1207D" w:rsidP="00F73267">
            <w:pPr>
              <w:jc w:val="center"/>
              <w:rPr>
                <w:rFonts w:cs="Arial"/>
                <w:b/>
              </w:rPr>
            </w:pPr>
            <w:r w:rsidRPr="00C34C0D">
              <w:rPr>
                <w:rFonts w:cs="Arial"/>
                <w:b/>
              </w:rPr>
              <w:t>Budget</w:t>
            </w:r>
            <w:r>
              <w:rPr>
                <w:rFonts w:cs="Arial"/>
                <w:b/>
              </w:rPr>
              <w:t xml:space="preserve"> £m</w:t>
            </w:r>
          </w:p>
        </w:tc>
        <w:tc>
          <w:tcPr>
            <w:tcW w:w="1436" w:type="dxa"/>
            <w:shd w:val="clear" w:color="auto" w:fill="DEEAF6" w:themeFill="accent1" w:themeFillTint="33"/>
          </w:tcPr>
          <w:p w:rsidR="00254BFE" w:rsidRPr="00C34C0D" w:rsidRDefault="00F1207D" w:rsidP="00F73267">
            <w:pPr>
              <w:jc w:val="center"/>
              <w:rPr>
                <w:rFonts w:cs="Arial"/>
                <w:b/>
              </w:rPr>
            </w:pPr>
            <w:r w:rsidRPr="00C34C0D">
              <w:rPr>
                <w:rFonts w:cs="Arial"/>
                <w:b/>
              </w:rPr>
              <w:t>Deliverability</w:t>
            </w:r>
          </w:p>
        </w:tc>
      </w:tr>
      <w:tr w:rsidR="00D36BC1" w:rsidTr="00F73267">
        <w:tc>
          <w:tcPr>
            <w:tcW w:w="1942" w:type="dxa"/>
          </w:tcPr>
          <w:p w:rsidR="00254BFE" w:rsidRPr="00D740B8" w:rsidRDefault="00F1207D" w:rsidP="00F73267">
            <w:r w:rsidRPr="00D740B8">
              <w:t>M65 J10 Westgate Active Way</w:t>
            </w:r>
          </w:p>
        </w:tc>
        <w:tc>
          <w:tcPr>
            <w:tcW w:w="3574" w:type="dxa"/>
          </w:tcPr>
          <w:p w:rsidR="00254BFE" w:rsidRPr="00D740B8" w:rsidRDefault="00F1207D" w:rsidP="00F73267">
            <w:r w:rsidRPr="00D740B8">
              <w:t xml:space="preserve">MOVA Validation to all the signalised  junctions along  Westgate </w:t>
            </w:r>
            <w:r w:rsidRPr="00D740B8">
              <w:t>from Junction 10 on to Active Way to junction with Church Street</w:t>
            </w:r>
          </w:p>
        </w:tc>
        <w:tc>
          <w:tcPr>
            <w:tcW w:w="6817" w:type="dxa"/>
          </w:tcPr>
          <w:p w:rsidR="00254BFE" w:rsidRPr="00D740B8" w:rsidRDefault="00F1207D" w:rsidP="00F73267">
            <w:r w:rsidRPr="00D740B8">
              <w:t xml:space="preserve">The junctions along this road have had extensive improvement works over the last 6-7 years including more recently through the </w:t>
            </w:r>
            <w:r>
              <w:t xml:space="preserve">Hyndburn </w:t>
            </w:r>
            <w:r w:rsidRPr="00D740B8">
              <w:t>B</w:t>
            </w:r>
            <w:r>
              <w:t xml:space="preserve">urnley </w:t>
            </w:r>
            <w:r w:rsidRPr="00D740B8">
              <w:t>P</w:t>
            </w:r>
            <w:r>
              <w:t xml:space="preserve">endle </w:t>
            </w:r>
            <w:r w:rsidRPr="00D740B8">
              <w:t>G</w:t>
            </w:r>
            <w:r>
              <w:t xml:space="preserve">rowth </w:t>
            </w:r>
            <w:r w:rsidRPr="00D740B8">
              <w:t>C</w:t>
            </w:r>
            <w:r>
              <w:t>orridor</w:t>
            </w:r>
            <w:r w:rsidRPr="00D740B8">
              <w:t>, including MOVA technolo</w:t>
            </w:r>
            <w:r w:rsidRPr="00D740B8">
              <w:t>gy being instal</w:t>
            </w:r>
            <w:r>
              <w:t>led and set up at each junction.</w:t>
            </w:r>
            <w:r w:rsidRPr="00D740B8">
              <w:t xml:space="preserve"> </w:t>
            </w:r>
            <w:r>
              <w:t>T</w:t>
            </w:r>
            <w:r w:rsidRPr="00D740B8">
              <w:t>his was done in isolation due to programme delivery timeframes.  This proposed project will enable these junction</w:t>
            </w:r>
            <w:r>
              <w:t>s</w:t>
            </w:r>
            <w:r w:rsidRPr="00D740B8">
              <w:t xml:space="preserve"> to be sequenced to improve journey time along this corridor.  The project will also include </w:t>
            </w:r>
            <w:r w:rsidRPr="00D740B8">
              <w:t>the introduction of journey time monitoring to allow more effect</w:t>
            </w:r>
            <w:r>
              <w:t>ive</w:t>
            </w:r>
            <w:r w:rsidRPr="00D740B8">
              <w:t xml:space="preserve"> modelling of traffic flows in this area in the future.</w:t>
            </w:r>
          </w:p>
        </w:tc>
        <w:tc>
          <w:tcPr>
            <w:tcW w:w="1257" w:type="dxa"/>
          </w:tcPr>
          <w:p w:rsidR="00254BFE" w:rsidRPr="00D740B8" w:rsidRDefault="00F1207D" w:rsidP="00F73267">
            <w:pPr>
              <w:jc w:val="center"/>
            </w:pPr>
            <w:r w:rsidRPr="00D740B8">
              <w:t>£0.150</w:t>
            </w:r>
          </w:p>
        </w:tc>
        <w:tc>
          <w:tcPr>
            <w:tcW w:w="1436" w:type="dxa"/>
          </w:tcPr>
          <w:p w:rsidR="00254BFE" w:rsidRPr="00D740B8" w:rsidRDefault="00F1207D" w:rsidP="00F73267">
            <w:pPr>
              <w:jc w:val="center"/>
            </w:pPr>
            <w:r w:rsidRPr="00D740B8">
              <w:t>2019-20</w:t>
            </w:r>
          </w:p>
        </w:tc>
      </w:tr>
      <w:tr w:rsidR="00D36BC1" w:rsidTr="00F73267">
        <w:tc>
          <w:tcPr>
            <w:tcW w:w="1942" w:type="dxa"/>
          </w:tcPr>
          <w:p w:rsidR="00254BFE" w:rsidRPr="00D740B8" w:rsidRDefault="00F1207D" w:rsidP="00F73267">
            <w:r w:rsidRPr="00D740B8">
              <w:t xml:space="preserve">Ringway </w:t>
            </w:r>
          </w:p>
        </w:tc>
        <w:tc>
          <w:tcPr>
            <w:tcW w:w="3574" w:type="dxa"/>
          </w:tcPr>
          <w:p w:rsidR="00254BFE" w:rsidRPr="00D740B8" w:rsidRDefault="00F1207D" w:rsidP="00F73267">
            <w:r w:rsidRPr="00D740B8">
              <w:t xml:space="preserve">MOVA and SCOOT Validation to all signalised junctions and crossings along Guild Way from Wellfield Road on to </w:t>
            </w:r>
            <w:r>
              <w:t>Ringway and London Road to the Capital C</w:t>
            </w:r>
            <w:r w:rsidRPr="00D740B8">
              <w:t>entre.</w:t>
            </w:r>
          </w:p>
        </w:tc>
        <w:tc>
          <w:tcPr>
            <w:tcW w:w="6817" w:type="dxa"/>
          </w:tcPr>
          <w:p w:rsidR="00254BFE" w:rsidRPr="00D740B8" w:rsidRDefault="00F1207D" w:rsidP="00F73267">
            <w:r w:rsidRPr="00D740B8">
              <w:t>A low cost measure</w:t>
            </w:r>
            <w:r>
              <w:t xml:space="preserve"> is proposed</w:t>
            </w:r>
            <w:r w:rsidRPr="00D740B8">
              <w:t xml:space="preserve"> to help reduce traffic congestion by ensuring the efficiency of the</w:t>
            </w:r>
            <w:r>
              <w:t xml:space="preserve"> </w:t>
            </w:r>
            <w:r>
              <w:t>existing technologies in place.</w:t>
            </w:r>
            <w:r w:rsidRPr="00D740B8">
              <w:t xml:space="preserve"> </w:t>
            </w:r>
            <w:r>
              <w:t>T</w:t>
            </w:r>
            <w:r w:rsidRPr="00D740B8">
              <w:t>his corridor was identified and submitted a</w:t>
            </w:r>
            <w:r>
              <w:t>s a</w:t>
            </w:r>
            <w:r w:rsidRPr="00D740B8">
              <w:t xml:space="preserve"> bid to </w:t>
            </w:r>
            <w:r>
              <w:t xml:space="preserve">the </w:t>
            </w:r>
            <w:r w:rsidRPr="00D740B8">
              <w:t>N</w:t>
            </w:r>
            <w:r>
              <w:t xml:space="preserve">ational </w:t>
            </w:r>
            <w:r w:rsidRPr="00D740B8">
              <w:t>P</w:t>
            </w:r>
            <w:r>
              <w:t xml:space="preserve">roductivity </w:t>
            </w:r>
            <w:r w:rsidRPr="00D740B8">
              <w:t>I</w:t>
            </w:r>
            <w:r>
              <w:t xml:space="preserve">nvestment </w:t>
            </w:r>
            <w:r w:rsidRPr="00D740B8">
              <w:t>F</w:t>
            </w:r>
            <w:r>
              <w:t>und</w:t>
            </w:r>
            <w:r w:rsidRPr="00D740B8">
              <w:t xml:space="preserve"> for lar</w:t>
            </w:r>
            <w:r>
              <w:t>ge scale infrastructure changes</w:t>
            </w:r>
            <w:r w:rsidRPr="00D740B8">
              <w:t xml:space="preserve"> but was unsuccessful.  </w:t>
            </w:r>
            <w:r>
              <w:t>E</w:t>
            </w:r>
            <w:r w:rsidRPr="00D740B8">
              <w:t xml:space="preserve">nsuring the efficiency of the existing technology on this </w:t>
            </w:r>
            <w:r w:rsidRPr="00D740B8">
              <w:t>corridor will strengthen the evidence for a future Transforming Cities bid whilst making a short term improvement. The project will also include the introduction of journey time monitoring to allow more effect</w:t>
            </w:r>
            <w:r>
              <w:t>ive</w:t>
            </w:r>
            <w:r w:rsidRPr="00D740B8">
              <w:t xml:space="preserve"> modelling of traffic flows in this area to </w:t>
            </w:r>
            <w:r w:rsidRPr="00D740B8">
              <w:t>provide robust evidence for future funding bids.</w:t>
            </w:r>
          </w:p>
        </w:tc>
        <w:tc>
          <w:tcPr>
            <w:tcW w:w="1257" w:type="dxa"/>
          </w:tcPr>
          <w:p w:rsidR="00254BFE" w:rsidRPr="00D740B8" w:rsidRDefault="00F1207D" w:rsidP="00F73267">
            <w:pPr>
              <w:jc w:val="center"/>
            </w:pPr>
            <w:r w:rsidRPr="00D740B8">
              <w:t>£0.200</w:t>
            </w:r>
          </w:p>
        </w:tc>
        <w:tc>
          <w:tcPr>
            <w:tcW w:w="1436" w:type="dxa"/>
          </w:tcPr>
          <w:p w:rsidR="00254BFE" w:rsidRPr="00D740B8" w:rsidRDefault="00F1207D" w:rsidP="00F73267">
            <w:pPr>
              <w:jc w:val="center"/>
            </w:pPr>
            <w:r w:rsidRPr="00D740B8">
              <w:t xml:space="preserve">2019-20 / </w:t>
            </w:r>
            <w:r>
              <w:t>20</w:t>
            </w:r>
            <w:r w:rsidRPr="00D740B8">
              <w:t>20-21</w:t>
            </w:r>
          </w:p>
        </w:tc>
      </w:tr>
      <w:tr w:rsidR="00D36BC1" w:rsidTr="00F73267">
        <w:tc>
          <w:tcPr>
            <w:tcW w:w="1942" w:type="dxa"/>
          </w:tcPr>
          <w:p w:rsidR="00254BFE" w:rsidRPr="00D740B8" w:rsidRDefault="00F1207D" w:rsidP="00F73267">
            <w:r w:rsidRPr="00D740B8">
              <w:t>Bluebell Way</w:t>
            </w:r>
          </w:p>
        </w:tc>
        <w:tc>
          <w:tcPr>
            <w:tcW w:w="3574" w:type="dxa"/>
          </w:tcPr>
          <w:p w:rsidR="00254BFE" w:rsidRPr="00D740B8" w:rsidRDefault="00F1207D" w:rsidP="00F73267">
            <w:r w:rsidRPr="00D740B8">
              <w:t xml:space="preserve">MOVA Validation to all the signalised  junctions along Bluebell way from Longridge Road to M6 Junction </w:t>
            </w:r>
            <w:r>
              <w:t>31A</w:t>
            </w:r>
            <w:r w:rsidRPr="00D740B8">
              <w:t xml:space="preserve"> off slip R</w:t>
            </w:r>
            <w:r>
              <w:t>oundab</w:t>
            </w:r>
            <w:r w:rsidRPr="00D740B8">
              <w:t>out</w:t>
            </w:r>
          </w:p>
        </w:tc>
        <w:tc>
          <w:tcPr>
            <w:tcW w:w="6817" w:type="dxa"/>
          </w:tcPr>
          <w:p w:rsidR="00254BFE" w:rsidRPr="00D740B8" w:rsidRDefault="00F1207D" w:rsidP="00F73267">
            <w:r w:rsidRPr="00D740B8">
              <w:t>A low cost measure</w:t>
            </w:r>
            <w:r>
              <w:t xml:space="preserve"> is proposed</w:t>
            </w:r>
            <w:r w:rsidRPr="00D740B8">
              <w:t xml:space="preserve"> </w:t>
            </w:r>
            <w:r>
              <w:t>to ensure</w:t>
            </w:r>
            <w:r w:rsidRPr="00D740B8">
              <w:t xml:space="preserve"> </w:t>
            </w:r>
            <w:r w:rsidRPr="00D740B8">
              <w:t xml:space="preserve">the efficiency of the existing technology to reduce traffic congestion.  This work will enable a more informed feasibility study to take place to establish a more long term solution to the congestion as a result of traffic </w:t>
            </w:r>
            <w:r>
              <w:t>accessing the M6 at Junction 31A.</w:t>
            </w:r>
            <w:r>
              <w:t xml:space="preserve"> Budget for a</w:t>
            </w:r>
            <w:r w:rsidRPr="00D740B8">
              <w:t xml:space="preserve"> feasibility st</w:t>
            </w:r>
            <w:r>
              <w:t>udy was</w:t>
            </w:r>
            <w:r w:rsidRPr="00D740B8">
              <w:t xml:space="preserve"> approved in the 2018-19 Capital Programme. The project will also include the introduction of journey time </w:t>
            </w:r>
            <w:r>
              <w:t xml:space="preserve">monitoring to allow more effective </w:t>
            </w:r>
            <w:r w:rsidRPr="00D740B8">
              <w:t>modelling of traffic flows in this area to help to identify a more long term so</w:t>
            </w:r>
            <w:r w:rsidRPr="00D740B8">
              <w:t>lution.</w:t>
            </w:r>
          </w:p>
        </w:tc>
        <w:tc>
          <w:tcPr>
            <w:tcW w:w="1257" w:type="dxa"/>
          </w:tcPr>
          <w:p w:rsidR="00254BFE" w:rsidRPr="00D740B8" w:rsidRDefault="00F1207D" w:rsidP="00F73267">
            <w:pPr>
              <w:jc w:val="center"/>
            </w:pPr>
            <w:r w:rsidRPr="00D740B8">
              <w:t>£0.100</w:t>
            </w:r>
          </w:p>
        </w:tc>
        <w:tc>
          <w:tcPr>
            <w:tcW w:w="1436" w:type="dxa"/>
          </w:tcPr>
          <w:p w:rsidR="00254BFE" w:rsidRPr="00D740B8" w:rsidRDefault="00F1207D" w:rsidP="00F73267">
            <w:pPr>
              <w:jc w:val="center"/>
            </w:pPr>
            <w:r w:rsidRPr="00D740B8">
              <w:t xml:space="preserve">2019-20 / </w:t>
            </w:r>
            <w:r>
              <w:t>20</w:t>
            </w:r>
            <w:r w:rsidRPr="00D740B8">
              <w:t>20-21</w:t>
            </w:r>
          </w:p>
        </w:tc>
      </w:tr>
      <w:tr w:rsidR="00D36BC1" w:rsidTr="00F73267">
        <w:tc>
          <w:tcPr>
            <w:tcW w:w="1942" w:type="dxa"/>
          </w:tcPr>
          <w:p w:rsidR="00254BFE" w:rsidRPr="00D740B8" w:rsidRDefault="00F1207D" w:rsidP="00F73267">
            <w:r>
              <w:t>Rosegrove Junction, Burnley</w:t>
            </w:r>
          </w:p>
        </w:tc>
        <w:tc>
          <w:tcPr>
            <w:tcW w:w="3574" w:type="dxa"/>
          </w:tcPr>
          <w:p w:rsidR="00254BFE" w:rsidRPr="00D740B8" w:rsidRDefault="00F1207D" w:rsidP="00F73267">
            <w:r>
              <w:t>Junction improvements</w:t>
            </w:r>
          </w:p>
        </w:tc>
        <w:tc>
          <w:tcPr>
            <w:tcW w:w="6817" w:type="dxa"/>
          </w:tcPr>
          <w:p w:rsidR="00254BFE" w:rsidRPr="00D740B8" w:rsidRDefault="00F1207D" w:rsidP="006F47F7">
            <w:r>
              <w:t>See detailed explanation in report</w:t>
            </w:r>
          </w:p>
        </w:tc>
        <w:tc>
          <w:tcPr>
            <w:tcW w:w="1257" w:type="dxa"/>
          </w:tcPr>
          <w:p w:rsidR="00254BFE" w:rsidRPr="00D740B8" w:rsidRDefault="00F1207D" w:rsidP="00F73267">
            <w:pPr>
              <w:jc w:val="center"/>
            </w:pPr>
            <w:r>
              <w:t>£1.500</w:t>
            </w:r>
          </w:p>
        </w:tc>
        <w:tc>
          <w:tcPr>
            <w:tcW w:w="1436" w:type="dxa"/>
          </w:tcPr>
          <w:p w:rsidR="00254BFE" w:rsidRPr="00D740B8" w:rsidRDefault="00F1207D" w:rsidP="00F73267">
            <w:pPr>
              <w:jc w:val="center"/>
            </w:pPr>
            <w:r w:rsidRPr="00D740B8">
              <w:t xml:space="preserve">2019-20 / </w:t>
            </w:r>
            <w:r>
              <w:t>20</w:t>
            </w:r>
            <w:r w:rsidRPr="00D740B8">
              <w:t>20-21</w:t>
            </w:r>
          </w:p>
        </w:tc>
      </w:tr>
      <w:tr w:rsidR="00D36BC1" w:rsidTr="00F73267">
        <w:tc>
          <w:tcPr>
            <w:tcW w:w="1942" w:type="dxa"/>
          </w:tcPr>
          <w:p w:rsidR="00254BFE" w:rsidRPr="00D740B8" w:rsidRDefault="00F1207D" w:rsidP="00F73267"/>
        </w:tc>
        <w:tc>
          <w:tcPr>
            <w:tcW w:w="3574" w:type="dxa"/>
          </w:tcPr>
          <w:p w:rsidR="00254BFE" w:rsidRPr="00D740B8" w:rsidRDefault="00F1207D" w:rsidP="00F73267"/>
        </w:tc>
        <w:tc>
          <w:tcPr>
            <w:tcW w:w="6817" w:type="dxa"/>
          </w:tcPr>
          <w:p w:rsidR="00254BFE" w:rsidRPr="00D740B8" w:rsidRDefault="00F1207D" w:rsidP="00F73267">
            <w:r w:rsidRPr="00B64E48">
              <w:rPr>
                <w:b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1257" w:type="dxa"/>
          </w:tcPr>
          <w:p w:rsidR="00254BFE" w:rsidRPr="00B64E48" w:rsidRDefault="00F1207D" w:rsidP="00F73267">
            <w:pPr>
              <w:jc w:val="center"/>
              <w:rPr>
                <w:b/>
              </w:rPr>
            </w:pPr>
            <w:r w:rsidRPr="00B64E48">
              <w:rPr>
                <w:b/>
              </w:rPr>
              <w:t>£</w:t>
            </w:r>
            <w:r>
              <w:rPr>
                <w:b/>
              </w:rPr>
              <w:t>1.9</w:t>
            </w:r>
            <w:r w:rsidRPr="00B64E48">
              <w:rPr>
                <w:b/>
              </w:rPr>
              <w:t>50</w:t>
            </w:r>
          </w:p>
        </w:tc>
        <w:tc>
          <w:tcPr>
            <w:tcW w:w="1436" w:type="dxa"/>
          </w:tcPr>
          <w:p w:rsidR="00254BFE" w:rsidRPr="00D740B8" w:rsidRDefault="00F1207D" w:rsidP="00F73267"/>
        </w:tc>
      </w:tr>
    </w:tbl>
    <w:p w:rsidR="00254BFE" w:rsidRPr="00D740B8" w:rsidRDefault="00F1207D" w:rsidP="00254BFE">
      <w:pPr>
        <w:spacing w:after="0"/>
        <w:rPr>
          <w:rFonts w:cs="Arial"/>
        </w:rPr>
        <w:sectPr w:rsidR="00254BFE" w:rsidRPr="00D740B8" w:rsidSect="00BD0FA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0353D4" w:rsidRDefault="00F1207D"/>
    <w:sectPr w:rsidR="000353D4" w:rsidSect="00254B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C1"/>
    <w:rsid w:val="00D36BC1"/>
    <w:rsid w:val="00F1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C1754"/>
  <w15:docId w15:val="{828BAF43-D85F-4C2E-9153-BC9CCED6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Janet</dc:creator>
  <cp:lastModifiedBy>Gorman, Dave</cp:lastModifiedBy>
  <cp:revision>5</cp:revision>
  <dcterms:created xsi:type="dcterms:W3CDTF">2019-05-16T14:22:00Z</dcterms:created>
  <dcterms:modified xsi:type="dcterms:W3CDTF">2019-05-22T14:16:00Z</dcterms:modified>
</cp:coreProperties>
</file>